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B24" w:rsidRPr="001A6B24" w:rsidRDefault="001A6B24" w:rsidP="001A6B24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 w:rsidRPr="001A6B24">
        <w:rPr>
          <w:rFonts w:ascii="Times New Roman" w:hAnsi="Times New Roman" w:cs="Times New Roman"/>
          <w:sz w:val="28"/>
          <w:szCs w:val="28"/>
        </w:rPr>
        <w:t>Блок 3 «Техническое задание»</w:t>
      </w:r>
      <w:bookmarkEnd w:id="0"/>
      <w:bookmarkEnd w:id="1"/>
    </w:p>
    <w:p w:rsidR="009F7D14" w:rsidRPr="009F7D14" w:rsidRDefault="009F7D14" w:rsidP="009F7D14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F7D14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9F7D14" w:rsidRPr="009F7D14" w:rsidRDefault="009F7D14" w:rsidP="009F7D14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9F7D14">
        <w:rPr>
          <w:rFonts w:ascii="Times New Roman" w:hAnsi="Times New Roman"/>
          <w:b/>
          <w:sz w:val="24"/>
          <w:szCs w:val="24"/>
        </w:rPr>
        <w:t xml:space="preserve">на оказание услуг по проведению экспертизы промышленной безопасности Технологических трубопроводов склада ГСМ-2 располагающихся по адресу: </w:t>
      </w:r>
    </w:p>
    <w:p w:rsidR="009F7D14" w:rsidRPr="009F7D14" w:rsidRDefault="009F7D14" w:rsidP="009F7D14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9F7D14">
        <w:rPr>
          <w:rFonts w:ascii="Times New Roman" w:hAnsi="Times New Roman"/>
          <w:b/>
          <w:sz w:val="24"/>
          <w:szCs w:val="24"/>
        </w:rPr>
        <w:t>г. Москва, Заводское шоссе, дом16, склад ГСМ-2.</w:t>
      </w:r>
    </w:p>
    <w:tbl>
      <w:tblPr>
        <w:tblStyle w:val="1"/>
        <w:tblW w:w="102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7"/>
        <w:gridCol w:w="2944"/>
        <w:gridCol w:w="6804"/>
      </w:tblGrid>
      <w:tr w:rsidR="009F7D14" w:rsidRPr="009F7D14" w:rsidTr="009F7D14">
        <w:trPr>
          <w:trHeight w:val="55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Акционерное Общество «Топливо-заправочный сервис».</w:t>
            </w:r>
          </w:p>
        </w:tc>
      </w:tr>
      <w:tr w:rsidR="009F7D14" w:rsidRPr="009F7D14" w:rsidTr="009F7D14">
        <w:trPr>
          <w:trHeight w:val="42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Экспертиза промышленной безопасности Технологические трубопроводы склада ГСМ-2</w:t>
            </w:r>
          </w:p>
        </w:tc>
      </w:tr>
      <w:tr w:rsidR="009F7D14" w:rsidRPr="009F7D14" w:rsidTr="009F7D14">
        <w:trPr>
          <w:trHeight w:val="135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Место выполнения работ (оказания услуг)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Склад ГСМ-2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г. Москва, Заводское шоссе, дом16, склад ГСМ-2.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- опасный производственный объект (на основании ФЗ-116 от 21.07.1997г.);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- особо опасный, технически сложный объект (на основании ст.48.1 ГК РФ);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объект транспортной инфраструктуры.</w:t>
            </w:r>
          </w:p>
        </w:tc>
      </w:tr>
      <w:tr w:rsidR="009F7D14" w:rsidRPr="009F7D14" w:rsidTr="009F7D14">
        <w:trPr>
          <w:trHeight w:val="25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Пропускной режим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Оформление временных пропусков на лиц, выполняющих ремонтные работы, транспортные средства и ввозимые материалы, осуществляется по предварительной заявке, с предоставлением скан. копий паспортных данных и документов на автотранспорт. Тел.: 8(495)436 23 70.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 Пропускной режим на объекты АО «ТЗС» осуществляется в соответствии с 16 ФЗ «О транспортной безопасности» от 09.02.2007 года и ПП РФ № 1605 от 5 октября 2020 г. 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воздушного транспорта».</w:t>
            </w:r>
          </w:p>
        </w:tc>
      </w:tr>
      <w:tr w:rsidR="009F7D14" w:rsidRPr="009F7D14" w:rsidTr="009F7D14">
        <w:trPr>
          <w:trHeight w:val="55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Срок выполнения работ (оказания услуг)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Срок выполнения Работ Подрядчиком составляет 120 (сто двадцать) календарных дней с даты подписания Договора сторонами. 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Срок действия договора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Договор вступает в силу с даты его подписания Сторонами и действует до полного исполнения Сторонами обязательств по Договору. Прекращение (окончание срока) действия Договора не освобождает Стороны от выполнения гарантийных обязательств.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Cs/>
                <w:sz w:val="20"/>
                <w:szCs w:val="20"/>
              </w:rPr>
              <w:t>- Работы выполнять в соответствии с требованиями нормативных документов, действующими на территории Российской Федерации.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Cs/>
                <w:sz w:val="20"/>
                <w:szCs w:val="20"/>
              </w:rPr>
              <w:t>- При проведении экспертизы промышленной безопасности должны быть соблюдены требования нормативных документов по пожарной, промышленной и экологической безопасности, охране труда.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Cs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Cs/>
                <w:sz w:val="20"/>
                <w:szCs w:val="20"/>
              </w:rPr>
              <w:t xml:space="preserve">- В объем работ подрядчиком должны быть включены все мероприятия по подготовке оборудования к экспертизе промышленной безопасности. 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Характеристики выполняемых работ (оказываемых услуг)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Провести экспертизу промышленной безопасности Технологических трубопроводов склада ГСМ-2: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Технологический трубопровод обвязки казематных резервуаров (резервуарный парк №1) инв. № 000000246: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Трубопровод стальной, наземный со стальной запорной арматурой Ду-219 мм, длина 195 м;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Трубопровод стальной, наземный со стальной запорной арматурой Ду-159 мм, длина 345 м.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Технологический трубопровод обвязки пунктов налива инв. № 000000246: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Трубопровод стальной, наземный со стальной запорной арматурой Ду-108 мм, длина 180 м.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Технологический трубопровод от насосной станции №1 до резервуарного парка №2 инв. № 000000246: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Трубопровод стальной, наземный со стальной запорной арматурой Ду-250 мм, длина 358 м.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Технологический трубопровод от резервуарного парка №2 до насосной станции №3 инв. № 000000246: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Трубопровод стальной, наземный со стальной запорной арматурой Ду-250 мм, длина 80 м.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Технологический трубопровод дренажной системы резервуарного парка №2 инв. № 000000246: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Трубопровод стальной, наземный со стальной запорной арматурой Ду-100 мм, длина 311,5 м.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Технологический трубопровод от фильтрационной до резервуарного парка №3 инв. № 000000246: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Трубопровод стальной, наземный со стальной запорной арматурой Ду-219 мм, длина 55,5 м.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Технологический трубопровод от резервуарного парка №3 до насосной №1 инв. № 000000246: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Трубопровод стальной, наземный со стальной запорной арматурой Ду-250 мм, длина 263 м.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Технологический трубопровод от резервуарного парка №3 до насосной №2 инв. № 000000246: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Трубопровод стальной, наземный со стальной запорной арматурой Ду-250 мм, длина 55 м.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Технологический трубопровод от железнодорожной сливо-наливной эстакады до насосной №1 инв. № 000000138: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Трубопровод стальной, наземный со стальной запорной арматурой Ду-219 мм, длина 90 м.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Технологический трубопровод от железнодорожной сливо-наливной эстакады до насосной №2 инв. № 000000339: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Трубопровод стальной, наземный со стальной запорной арматурой Ду-219 мм, длина 90 м.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в соответствии с требованиями руководящих документов, действующих на территории РФ.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Подготовить паспорта на Технологические трубопроводы склада ГСМ-2.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1. Организационно-аналитические работы: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Провести анализ имеющейся технической документации (проектной, исполнительной, эксплуатационной, ремонтной), паспортов и фактического исполнения,  схем и режимов работы диагностируемого оборудования, основных характеристиках используемого продукта, о составе и геометрических параметрах технологических трубопроводов, фактических условий эксплуатации, об изменениях в конструкции технологических трубопроводов, о ремонтах и испытаниях технологических трубопроводов, о результатах предыдущих освидетельствований и экспертиз технического диагностирования технологических трубопроводов, об авариях и инцидентах на технологических трубопроводах и др.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Выбрать оптимальную совокупность методик и аппаратуры для эффективного обследования оборудования.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Составить Программу проведения ЭПБ в соответствии с видом диагностического обследования и согласовать ее с Заказчиком.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- Оценить фактические условия технического состояния технологических трубопроводов с выездом на место.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Провести анализ имеющейся аппаратуры и методической базы с целью определения их применимости и эффективности в условиях фактического состояния технологических трубопроводов.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Оценить трудоемкость обследования, потребность в дополнительных работниках и аппаратуре, обеспечивающих увеличение эффективности обследования, без увеличения стоимости работ по Договору.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- Провести анализ возможных повреждающих оборудование процессов, способных наиболее быстро перевести оборудование в предельное состояние.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- Для каждого повреждающего процесса определить критерии перехода оборудования в предельное состояние.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- Оценить возможность коррозионно-эрозионного повреждения технологических трубопроводов на основании данных о предыдущих исследованиях, имевших место авариях и инцидентах на оборудовании.  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2. Полевые работы: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- Определение планового положения, глубины заложения технологических трубопроводов.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Определение технического состояния технологических трубопроводов (визуальный осмотр), функциональная диагностика. Контроль геометрического состояния.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Наружный и внутренний осмотр, визуально-измерительный контроль.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Контроль соответствия системы автоматизации требованиям Правил.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Неразрушающий контроль качества сварных соединений, толщинометрия.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Неразрушающий контроль проникающими веществами сварных соединений и основного металла в районе присоединения штуцеров сосудов и аппаратов.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Неразрующий контроль всех штуцеров и бобышек независимо от диаметра.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Оценка механических свойств основного металла и сварных соединений.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Проведение коррозионных исследований.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Анализ результатов технического диагностирования и проведение расчетов на прочность.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Анализ повреждений и параметров технического состояния и установление критериев предельного состояния.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Проведение уточненных расчетов на прочность.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Определение отбраковочных толщин.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Определение остаточного ресурса.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Гидравлические испытания.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Проверка всех крепежных элементов технических устройств и технологических трубопроводов на соответствие требованиям проекта и нормативно-технической документации.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Наружный и, при необходимости, внутренний осмотр, визуально-измерительный контроль запорной, регулирующей и предохранительной арматуры, установленной на технологических трубопроводах.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Осмотр фланцевых соединений, крепежных элементов запорной, регулирующей и предохранительной арматуры.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- На основании визуально-измерительного контроля, результатов ультразвуковой дефектоскопии и толщинометрии в заявленных наиболее поврежденных участков определить фактические геометрические параметры дефектов.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При обнаружении дефектов определить границы и протяженность отбракованных участков.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При выявлении несоответствий и дефектов, препятствующих выдаче положительного заключения, выдача рекомендаций по устранению.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- Внесение записей в эксплуатационные паспорта резервуара о проведенной ЭПБ/ТД (результаты продления и регистрационный номер Заключения вносятся специалистами Заказчика).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3. Расчетно-аналитические работы: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Выполнить ЭПБ, ТО, ТД и ревизии в соответствии с требованиями нормативно-технической документации в области промышленной безопасности, государственных и отраслевых стандартов, технических условий и других документов, регламентирующих порядок выполнения работ по отдельным видам оборудования.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Разработать и предоставить в период технического диагностирования акты отбраковки, письменные рекомендации или технические решения по устранению дефектов или несоответствий, выявленных в ходе проведения ЭПБ (с подробным описанием методов устранения и технологическими указаниями на ремонт с применением сварочных технологий).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случае выявления дефектов обеспечить увеличение объема неразрушающего контроля для полноты и достоверности результатов экспертизы промышленной безопасности.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случае несоответствия фактического исполнения технического устройства чертежам приложенным к паспорту – изготовить чертежи в соответствии с действующей нормативно-технической документации.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случае изменения рабочих параметров технических устройств, требуемых для технологических процессов – произвести необходимые расчеты, внести изменения в паспорте со ссылкой на заключение экспертизы промышленной безопасности.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случае выявления несоответствий препятствующих выдачи положительного заключения ЭПБ, обеспечить уведомление в срок не более десяти календарных дней с момента выявления факта и предоставить обоснованное пояснение для принятия решения и перечень мероприятий по приведению объекта в соответствие с требованиями нормативных документов.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Провести анализ риска в рамках плана мероприятий по снижению риска аварий.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 xml:space="preserve">- На основании результатов расчета индивидуальных остаточных ресурсов наиболее повреждённых участков технологических трубопроводов рассчитать и задать назначенный ресурс дальнейшей эксплуатации.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Выдача дефектной ведомости в сроки, установленные процессом проведения ТД/ЭПБ.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Составление и утверждение заключения экспертизы промышленной безопасности (ЭПБ).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Внесение согласованного заключения ЭПБ в реестр заключений ЭПБ в территориальном органе Федеральной службы по экологическому, технологическому и атомному надзору.</w:t>
            </w:r>
          </w:p>
        </w:tc>
      </w:tr>
      <w:tr w:rsidR="009F7D14" w:rsidRPr="009F7D14" w:rsidTr="009F7D14">
        <w:trPr>
          <w:trHeight w:val="51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Cs/>
                <w:sz w:val="20"/>
                <w:szCs w:val="20"/>
              </w:rPr>
              <w:t>- Не требуется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Cs/>
                <w:sz w:val="20"/>
                <w:szCs w:val="20"/>
              </w:rPr>
              <w:t>- Объем предоставления гарантий качества выполненных подрядных работ должен составлять 100 % на все виды подрядных работ.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Cs/>
                <w:sz w:val="20"/>
                <w:szCs w:val="20"/>
              </w:rPr>
              <w:t>- Подрядчик гарантирует качество выполняемых Работ в соответствии с требованиями, указанными в пункте 6. Договора.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Cs/>
                <w:sz w:val="20"/>
                <w:szCs w:val="20"/>
              </w:rPr>
              <w:t>- Подрядчик предоставляет гарантию на выполненные работы 2 (два) года со дня подписания сторонами окончательного акта сдачи-приемки результатов выполненных работ. В течение гарантийного срока Подрядчик обязуется за свой счет устранять выявленные недостатки выполненных подрядных работ.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Cs/>
                <w:sz w:val="20"/>
                <w:szCs w:val="20"/>
              </w:rPr>
              <w:t>- Если в период гарантийного срока обнаружатся недостатки или дефекты, то Подрядчик обязан устранить их за свой счет в сроки, согласованные Сторонами и зафиксированные в акте с перечнем выявленных недостатков и сроком их устранения, но не позднее 10 (десяти) календарных дней с момента фиксации недостатков в акте. Гарантийный срок в этом случае соответственно продлевается на период устранения дефектов.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Cs/>
                <w:sz w:val="20"/>
                <w:szCs w:val="20"/>
              </w:rPr>
              <w:t>- Подрядчик гарантирует возможность безопасного использования результата выполненных Работ по назначению в течение всего гарантийного срока.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Обязательное наличие действующей лицензии Федеральной службы по экологическому, технологическому и атомному надзору на право выполнения экспертизы промышленной безопасности (виды экспертизы ТУ (технические устройства), ЗС (здания и сооружения) на опасном производственном объекте.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 xml:space="preserve">Обязательное наличие экспертов, привлекаемых для проведения экспертизы промышленной безопасности по направлениям: Э8ТУ, Э8ЗС в количестве 2 по каждому виду экспертизы аттестованных, имеющих стаж работы экспертов и опыт проведения экспертиз в соответствии с требованиями приказа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 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 xml:space="preserve">Наличие аккредитованной лаборатории неразрушающего контроля (Свидетельство об аккредитации), в соответствии с требованиями Приказа Ростехнадзора от 01.12.2020 года №478 "Об утверждении федеральных норм и правил в области промышленной безопасности "Основные требования к проведению неразрушающего контроля технических устройств, зданий и сооружений на опасных производственных объектах" и  СДАНК-01-2020 «Правила аттестации лабораторий неразрушающего контроля», разработанный и принятый Наблюдательным советом Единой системы оценки соответствия, либо действующего договора с соответствующей лабораторией.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Рекомендуется сертификация по ISO 9001:2008 (Системы менеджмента качества. Требования.), ISO 14001:2004 (Системы экологического менеджмента. Требования и руководство к их применению.), OHSAS 18001:2007 (Системы менеджмента охраны здоровья и обеспечения безопасности труда. Требования.).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Наличие штатных дефектоскопистов не ниже II уровня по каждому виду неразрушающего контроля ВИК- (визуально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измерительный контроль), УЗК -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(ультразвуковая толщинометрия), аттестованных в соответствии с требованиями СДАНК-02-2020 «Правила аттестации персонала в области неразрушающего контроля»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99-БНС. Документы представляются на этапе выставления коммерческого предложения.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Наличие опыта проведения экспертизы промышленной безопасности в порядке, установленном приказом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 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 xml:space="preserve">Наличие документов, паспортов на измерительные приборы, которые будут использоваться при проведении ЭПБ технологических трубопроводов склада ГСМ-2.  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Требования к исполнителю выполняемых работ (оказываемых услуг)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Исполнитель принимает меры по предотвращению возможного причинения вреда, связанного с выполнением работ, а также по ликвидации последствий нанесенного ущерба.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Исполнитель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Опыт работы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•  Работы должны выполняться специализированной организацией, имеющей опыт выполнения аналогичных работ, располагающей техническими средствами и инструментами, необходимыми для выполнения качественной работы.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Опыт работы в области экспертизы промышленной безопасности нефтепродуктопроводов в порядке, установленном приказом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Обязательное наличие документов, подтверждающих квалификацию экспертов, привлекаемых для проведения экспертизы промышленной безопасности по направлениям: Э8ТУ, Э8ЗС в количестве 2 по каждому виду экспертизы.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Обязательное наличие документов, подтверждающих квалификацию штатных дефектоскопистов не ниже II уровня по каждому виду неразрушающего контроля ВИК- (визуально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измерительный контроль), УЗК -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 xml:space="preserve">(ультразвуковая толщинометрия), аттестованных в соответствии с требованиями СДАНК-02-2020 «Правила аттестации персонала в области неразрушающего контроля»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99-БНС. 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Pr="009F7D14">
              <w:rPr>
                <w:rFonts w:ascii="Times New Roman" w:hAnsi="Times New Roman"/>
                <w:sz w:val="20"/>
                <w:szCs w:val="20"/>
              </w:rPr>
              <w:t>Наличие  аттестации в области промышленной безопасности руководителей и специалистов экспертной организации в аттестационной комиссии Ростехнадзора в соответствии с требованиями, Положения об аттестации экспертов в области промышленной безопасности, утверждённым постановлением Правительства Российской Федерации от 28 мая 2015 г. N 509.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соответствии с действующими нормативными документами РФ, ЛНД Заказчика;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9F7D14" w:rsidRPr="009F7D14" w:rsidTr="009F7D14">
        <w:trPr>
          <w:trHeight w:val="65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9F7D14" w:rsidRPr="009F7D14" w:rsidTr="009F7D14">
        <w:trPr>
          <w:trHeight w:val="130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(ОПО).</w:t>
            </w:r>
          </w:p>
          <w:p w:rsidR="009F7D14" w:rsidRPr="009F7D14" w:rsidRDefault="009F7D14" w:rsidP="009F7D1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Обязательное прохождение всеми сотрудниками вводного и противопожарного инструктажа у начальника объекта.</w:t>
            </w:r>
          </w:p>
          <w:p w:rsidR="009F7D14" w:rsidRPr="009F7D14" w:rsidRDefault="009F7D14" w:rsidP="009F7D1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Обязательное наличие документов о прохождении всеми сотрудниками проверки знаний по пожарно-техническому минимуму.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соответствии с требованиями  Федеральных норм и правил в области промышленной безопасности "Правила промышленной безопасности складов нефти и нефтепродуктов", утвержденные приказом Ростехнадзора от 15 декабря 2020 г. N 529.</w:t>
            </w:r>
          </w:p>
          <w:p w:rsidR="009F7D14" w:rsidRPr="009F7D14" w:rsidRDefault="009F7D14" w:rsidP="009F7D1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соответствии с требованиями ФЗ-116 от 21.07.1997г.</w:t>
            </w:r>
          </w:p>
          <w:p w:rsidR="009F7D14" w:rsidRPr="009F7D14" w:rsidRDefault="009F7D14" w:rsidP="009F7D1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соответствии с действующими нормативными документами РФ, ЛНД Заказчика.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9F7D14" w:rsidRPr="009F7D14" w:rsidTr="009F7D14">
        <w:trPr>
          <w:trHeight w:val="73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 соответствии с п.8 Технического задания.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- 2 экземпляра на бумажных носителях и 2 экземпляра в электронном виде в формате Word, pdf.</w:t>
            </w:r>
          </w:p>
        </w:tc>
      </w:tr>
      <w:tr w:rsidR="009F7D14" w:rsidRPr="009F7D14" w:rsidTr="009F7D14">
        <w:trPr>
          <w:trHeight w:val="58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Технологическая схема склада ГСМ2.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Предоставляется на стадии заключения Договора.</w:t>
            </w:r>
          </w:p>
        </w:tc>
      </w:tr>
      <w:tr w:rsidR="009F7D14" w:rsidRPr="009F7D14" w:rsidTr="009F7D14">
        <w:trPr>
          <w:trHeight w:val="69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Внесение заключения ЭПБ технологических трубопроводов склада ГСМ-2 в реестр заключений ЭПБ в территориальном органе Федеральной службы по экологическому, технологическому и атомному надзору.</w:t>
            </w:r>
          </w:p>
        </w:tc>
      </w:tr>
      <w:tr w:rsidR="009F7D14" w:rsidRPr="009F7D14" w:rsidTr="009F7D14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4" w:rsidRPr="009F7D14" w:rsidRDefault="009F7D14" w:rsidP="009F7D14">
            <w:pPr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14" w:rsidRPr="009F7D14" w:rsidRDefault="009F7D14" w:rsidP="009F7D1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D14">
              <w:rPr>
                <w:rFonts w:ascii="Times New Roman" w:hAnsi="Times New Roman"/>
                <w:b/>
                <w:sz w:val="20"/>
                <w:szCs w:val="20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D14" w:rsidRPr="009F7D14" w:rsidRDefault="009F7D14" w:rsidP="009F7D1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Лицензия на право выполнения экспертизы промышленной безопасности виды экспертизы ТУ, ЗС. (Пункт 2 статьи 13 Федерального закона от 21 июля 1997 г. N 116-ФЗ "О промышленной безопасности опасных производственных объектов").</w:t>
            </w:r>
          </w:p>
          <w:p w:rsidR="009F7D14" w:rsidRPr="009F7D14" w:rsidRDefault="009F7D14" w:rsidP="009F7D1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7D14">
              <w:rPr>
                <w:rFonts w:ascii="Times New Roman" w:hAnsi="Times New Roman"/>
                <w:sz w:val="20"/>
                <w:szCs w:val="20"/>
              </w:rPr>
              <w:t>- Документы, подтверждающие аттестацию, стаж работы и опыт проведения экспертиз экспертов (раздел II приказа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безопасности»).</w:t>
            </w:r>
          </w:p>
        </w:tc>
      </w:tr>
    </w:tbl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9F7D14">
        <w:rPr>
          <w:rFonts w:ascii="Times New Roman" w:hAnsi="Times New Roman"/>
          <w:b/>
          <w:i/>
          <w:sz w:val="24"/>
          <w:szCs w:val="24"/>
        </w:rPr>
        <w:t>Приложение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9F7D14">
        <w:rPr>
          <w:rFonts w:ascii="Times New Roman" w:hAnsi="Times New Roman"/>
          <w:b/>
          <w:i/>
          <w:sz w:val="24"/>
          <w:szCs w:val="24"/>
        </w:rPr>
        <w:t>к Техническому заданию от «___» ____________ 2021 г.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F7D14">
        <w:rPr>
          <w:rFonts w:ascii="Times New Roman" w:hAnsi="Times New Roman"/>
          <w:b/>
          <w:sz w:val="24"/>
          <w:szCs w:val="24"/>
          <w:u w:val="single"/>
        </w:rPr>
        <w:t>Глоссарий сокращений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 xml:space="preserve">АО «ТЗС»  </w:t>
      </w:r>
      <w:r w:rsidRPr="009F7D14">
        <w:rPr>
          <w:rFonts w:ascii="Times New Roman" w:hAnsi="Times New Roman"/>
          <w:sz w:val="20"/>
          <w:szCs w:val="20"/>
        </w:rPr>
        <w:t>– акционерное общество «Топливо-заправочный сервис;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 xml:space="preserve">ЖБО </w:t>
      </w:r>
      <w:r w:rsidRPr="009F7D14">
        <w:rPr>
          <w:rFonts w:ascii="Times New Roman" w:hAnsi="Times New Roman"/>
          <w:sz w:val="20"/>
          <w:szCs w:val="20"/>
        </w:rPr>
        <w:t>– жидкие бытовые отходы;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>ГСМ</w:t>
      </w:r>
      <w:r w:rsidRPr="009F7D14">
        <w:rPr>
          <w:rFonts w:ascii="Times New Roman" w:hAnsi="Times New Roman"/>
          <w:sz w:val="20"/>
          <w:szCs w:val="20"/>
        </w:rPr>
        <w:t xml:space="preserve"> – горюче-смазочных материалов;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>ППН</w:t>
      </w:r>
      <w:r w:rsidRPr="009F7D14">
        <w:rPr>
          <w:rFonts w:ascii="Times New Roman" w:hAnsi="Times New Roman"/>
          <w:sz w:val="20"/>
          <w:szCs w:val="20"/>
        </w:rPr>
        <w:t xml:space="preserve"> – предперронный пункт налива;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>АЗС</w:t>
      </w:r>
      <w:r w:rsidRPr="009F7D14">
        <w:rPr>
          <w:rFonts w:ascii="Times New Roman" w:hAnsi="Times New Roman"/>
          <w:sz w:val="20"/>
          <w:szCs w:val="20"/>
        </w:rPr>
        <w:t xml:space="preserve"> – автозаправочная станция;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>КАЗС</w:t>
      </w:r>
      <w:r w:rsidRPr="009F7D14">
        <w:rPr>
          <w:rFonts w:ascii="Times New Roman" w:hAnsi="Times New Roman"/>
          <w:sz w:val="20"/>
          <w:szCs w:val="20"/>
        </w:rPr>
        <w:t xml:space="preserve"> – автозаправочная станция контейнерного типа;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>г.</w:t>
      </w:r>
      <w:r w:rsidRPr="009F7D14">
        <w:rPr>
          <w:rFonts w:ascii="Times New Roman" w:hAnsi="Times New Roman"/>
          <w:sz w:val="20"/>
          <w:szCs w:val="20"/>
        </w:rPr>
        <w:t xml:space="preserve"> – город;</w:t>
      </w:r>
      <w:bookmarkStart w:id="2" w:name="_GoBack"/>
      <w:bookmarkEnd w:id="2"/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>а/п</w:t>
      </w:r>
      <w:r w:rsidRPr="009F7D14">
        <w:rPr>
          <w:rFonts w:ascii="Times New Roman" w:hAnsi="Times New Roman"/>
          <w:sz w:val="20"/>
          <w:szCs w:val="20"/>
        </w:rPr>
        <w:t xml:space="preserve"> – аэропорт;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>рег.</w:t>
      </w:r>
      <w:r w:rsidRPr="009F7D14">
        <w:rPr>
          <w:rFonts w:ascii="Times New Roman" w:hAnsi="Times New Roman"/>
          <w:sz w:val="20"/>
          <w:szCs w:val="20"/>
        </w:rPr>
        <w:t xml:space="preserve"> – регистрационный;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>РФ</w:t>
      </w:r>
      <w:r w:rsidRPr="009F7D14">
        <w:rPr>
          <w:rFonts w:ascii="Times New Roman" w:hAnsi="Times New Roman"/>
          <w:sz w:val="20"/>
          <w:szCs w:val="20"/>
        </w:rPr>
        <w:t xml:space="preserve"> – Российская Федерация;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 xml:space="preserve">ФЗ </w:t>
      </w:r>
      <w:r w:rsidRPr="009F7D14">
        <w:rPr>
          <w:rFonts w:ascii="Times New Roman" w:hAnsi="Times New Roman"/>
          <w:sz w:val="20"/>
          <w:szCs w:val="20"/>
        </w:rPr>
        <w:t>– Федеральный закон;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 xml:space="preserve">ГК РФ </w:t>
      </w:r>
      <w:r w:rsidRPr="009F7D14">
        <w:rPr>
          <w:rFonts w:ascii="Times New Roman" w:hAnsi="Times New Roman"/>
          <w:sz w:val="20"/>
          <w:szCs w:val="20"/>
        </w:rPr>
        <w:t>– Гражданский кодекс Российской Федерации;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>ЛНД</w:t>
      </w:r>
      <w:r w:rsidRPr="009F7D14">
        <w:rPr>
          <w:rFonts w:ascii="Times New Roman" w:hAnsi="Times New Roman"/>
          <w:sz w:val="20"/>
          <w:szCs w:val="20"/>
        </w:rPr>
        <w:t xml:space="preserve"> – локальные нормативные документы;</w:t>
      </w:r>
    </w:p>
    <w:p w:rsidR="009F7D14" w:rsidRPr="009F7D14" w:rsidRDefault="009F7D14" w:rsidP="009F7D14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7D14">
        <w:rPr>
          <w:rFonts w:ascii="Times New Roman" w:hAnsi="Times New Roman"/>
          <w:b/>
          <w:sz w:val="20"/>
          <w:szCs w:val="20"/>
        </w:rPr>
        <w:t>ОПО</w:t>
      </w:r>
      <w:r w:rsidRPr="009F7D14">
        <w:rPr>
          <w:rFonts w:ascii="Times New Roman" w:hAnsi="Times New Roman"/>
          <w:sz w:val="20"/>
          <w:szCs w:val="20"/>
        </w:rPr>
        <w:t xml:space="preserve"> – опасный производственный объект;</w:t>
      </w:r>
    </w:p>
    <w:p w:rsidR="009F7D14" w:rsidRPr="009F7D14" w:rsidRDefault="009F7D14" w:rsidP="009F7D1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7D14">
        <w:rPr>
          <w:rFonts w:ascii="Times New Roman" w:eastAsia="Times New Roman" w:hAnsi="Times New Roman"/>
          <w:b/>
          <w:sz w:val="20"/>
          <w:szCs w:val="20"/>
          <w:lang w:eastAsia="ru-RU"/>
        </w:rPr>
        <w:t>м</w:t>
      </w:r>
      <w:r w:rsidRPr="009F7D14">
        <w:rPr>
          <w:rFonts w:ascii="Times New Roman" w:eastAsia="Times New Roman" w:hAnsi="Times New Roman"/>
          <w:b/>
          <w:sz w:val="20"/>
          <w:szCs w:val="20"/>
          <w:vertAlign w:val="superscript"/>
          <w:lang w:eastAsia="ru-RU"/>
        </w:rPr>
        <w:t>3</w:t>
      </w:r>
      <w:r w:rsidRPr="009F7D14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 xml:space="preserve"> </w:t>
      </w:r>
      <w:r w:rsidRPr="009F7D14">
        <w:rPr>
          <w:rFonts w:ascii="Times New Roman" w:eastAsia="Times New Roman" w:hAnsi="Times New Roman"/>
          <w:sz w:val="20"/>
          <w:szCs w:val="20"/>
          <w:lang w:eastAsia="ru-RU"/>
        </w:rPr>
        <w:t>– метр кубический;</w:t>
      </w:r>
    </w:p>
    <w:p w:rsidR="009F7D14" w:rsidRPr="009F7D14" w:rsidRDefault="009F7D14" w:rsidP="009F7D1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7D14">
        <w:rPr>
          <w:rFonts w:ascii="Times New Roman" w:eastAsia="Times New Roman" w:hAnsi="Times New Roman"/>
          <w:b/>
          <w:sz w:val="20"/>
          <w:szCs w:val="20"/>
          <w:lang w:eastAsia="ru-RU"/>
        </w:rPr>
        <w:t>л.</w:t>
      </w:r>
      <w:r w:rsidRPr="009F7D14">
        <w:rPr>
          <w:rFonts w:ascii="Times New Roman" w:eastAsia="Times New Roman" w:hAnsi="Times New Roman"/>
          <w:sz w:val="20"/>
          <w:szCs w:val="20"/>
          <w:lang w:eastAsia="ru-RU"/>
        </w:rPr>
        <w:t xml:space="preserve"> – литр;</w:t>
      </w:r>
    </w:p>
    <w:p w:rsidR="009F7D14" w:rsidRPr="009F7D14" w:rsidRDefault="009F7D14" w:rsidP="009F7D1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7D14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т </w:t>
      </w:r>
      <w:r w:rsidRPr="009F7D14">
        <w:rPr>
          <w:rFonts w:ascii="Times New Roman" w:eastAsia="Times New Roman" w:hAnsi="Times New Roman"/>
          <w:sz w:val="20"/>
          <w:szCs w:val="20"/>
          <w:lang w:eastAsia="ru-RU"/>
        </w:rPr>
        <w:t>– тонна;</w:t>
      </w:r>
    </w:p>
    <w:p w:rsidR="009F7D14" w:rsidRPr="009F7D14" w:rsidRDefault="009F7D14" w:rsidP="009F7D1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7D14">
        <w:rPr>
          <w:rFonts w:ascii="Times New Roman" w:eastAsia="Times New Roman" w:hAnsi="Times New Roman"/>
          <w:b/>
          <w:sz w:val="20"/>
          <w:szCs w:val="20"/>
          <w:lang w:eastAsia="ru-RU"/>
        </w:rPr>
        <w:t>ПТС</w:t>
      </w:r>
      <w:r w:rsidRPr="009F7D14">
        <w:rPr>
          <w:rFonts w:ascii="Times New Roman" w:eastAsia="Times New Roman" w:hAnsi="Times New Roman"/>
          <w:sz w:val="20"/>
          <w:szCs w:val="20"/>
          <w:lang w:eastAsia="ru-RU"/>
        </w:rPr>
        <w:t xml:space="preserve"> – паспорт транспортного средства;</w:t>
      </w:r>
    </w:p>
    <w:p w:rsidR="009F7D14" w:rsidRPr="009F7D14" w:rsidRDefault="009F7D14" w:rsidP="009F7D1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7D14">
        <w:rPr>
          <w:rFonts w:ascii="Times New Roman" w:eastAsia="Times New Roman" w:hAnsi="Times New Roman"/>
          <w:b/>
          <w:sz w:val="20"/>
          <w:szCs w:val="20"/>
          <w:lang w:eastAsia="ru-RU"/>
        </w:rPr>
        <w:t>ТУ</w:t>
      </w:r>
      <w:r w:rsidRPr="009F7D14">
        <w:rPr>
          <w:rFonts w:ascii="Times New Roman" w:eastAsia="Times New Roman" w:hAnsi="Times New Roman"/>
          <w:sz w:val="20"/>
          <w:szCs w:val="20"/>
          <w:lang w:eastAsia="ru-RU"/>
        </w:rPr>
        <w:t xml:space="preserve"> - технические устройства; </w:t>
      </w:r>
    </w:p>
    <w:p w:rsidR="009F7D14" w:rsidRPr="009F7D14" w:rsidRDefault="009F7D14" w:rsidP="009F7D1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7D14">
        <w:rPr>
          <w:rFonts w:ascii="Times New Roman" w:eastAsia="Times New Roman" w:hAnsi="Times New Roman"/>
          <w:b/>
          <w:sz w:val="20"/>
          <w:szCs w:val="20"/>
          <w:lang w:eastAsia="ru-RU"/>
        </w:rPr>
        <w:t>ЗС</w:t>
      </w:r>
      <w:r w:rsidRPr="009F7D14">
        <w:rPr>
          <w:rFonts w:ascii="Times New Roman" w:eastAsia="Times New Roman" w:hAnsi="Times New Roman"/>
          <w:sz w:val="20"/>
          <w:szCs w:val="20"/>
          <w:lang w:eastAsia="ru-RU"/>
        </w:rPr>
        <w:t xml:space="preserve"> - здания и сооружения;</w:t>
      </w:r>
    </w:p>
    <w:p w:rsidR="009F7D14" w:rsidRPr="009F7D14" w:rsidRDefault="009F7D14" w:rsidP="009F7D1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7D14">
        <w:rPr>
          <w:rFonts w:ascii="Times New Roman" w:eastAsia="Times New Roman" w:hAnsi="Times New Roman"/>
          <w:b/>
          <w:sz w:val="20"/>
          <w:szCs w:val="20"/>
          <w:lang w:eastAsia="ru-RU"/>
        </w:rPr>
        <w:t>СТС</w:t>
      </w:r>
      <w:r w:rsidRPr="009F7D14">
        <w:rPr>
          <w:rFonts w:ascii="Times New Roman" w:eastAsia="Times New Roman" w:hAnsi="Times New Roman"/>
          <w:sz w:val="20"/>
          <w:szCs w:val="20"/>
          <w:lang w:eastAsia="ru-RU"/>
        </w:rPr>
        <w:t xml:space="preserve"> -свидетельство транспортного средства.</w:t>
      </w:r>
    </w:p>
    <w:p w:rsidR="009F7D14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F7D14" w:rsidRPr="00096E2A" w:rsidRDefault="009F7D1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</w:p>
    <w:sectPr w:rsidR="009F7D14" w:rsidRPr="00096E2A" w:rsidSect="00096E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E9C" w:rsidRDefault="00E35E9C" w:rsidP="000F05EF">
      <w:pPr>
        <w:spacing w:after="0" w:line="240" w:lineRule="auto"/>
      </w:pPr>
      <w:r>
        <w:separator/>
      </w:r>
    </w:p>
  </w:endnote>
  <w:endnote w:type="continuationSeparator" w:id="0">
    <w:p w:rsidR="00E35E9C" w:rsidRDefault="00E35E9C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E9C" w:rsidRDefault="00E35E9C" w:rsidP="000F05EF">
      <w:pPr>
        <w:spacing w:after="0" w:line="240" w:lineRule="auto"/>
      </w:pPr>
      <w:r>
        <w:separator/>
      </w:r>
    </w:p>
  </w:footnote>
  <w:footnote w:type="continuationSeparator" w:id="0">
    <w:p w:rsidR="00E35E9C" w:rsidRDefault="00E35E9C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DB7D35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D21379"/>
    <w:multiLevelType w:val="hybridMultilevel"/>
    <w:tmpl w:val="361AFB4E"/>
    <w:lvl w:ilvl="0" w:tplc="19AA0BB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C06322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25"/>
  </w:num>
  <w:num w:numId="4">
    <w:abstractNumId w:val="2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0"/>
  </w:num>
  <w:num w:numId="9">
    <w:abstractNumId w:val="14"/>
  </w:num>
  <w:num w:numId="10">
    <w:abstractNumId w:val="16"/>
  </w:num>
  <w:num w:numId="11">
    <w:abstractNumId w:val="18"/>
  </w:num>
  <w:num w:numId="12">
    <w:abstractNumId w:val="26"/>
  </w:num>
  <w:num w:numId="13">
    <w:abstractNumId w:val="27"/>
  </w:num>
  <w:num w:numId="14">
    <w:abstractNumId w:val="2"/>
  </w:num>
  <w:num w:numId="15">
    <w:abstractNumId w:val="24"/>
  </w:num>
  <w:num w:numId="16">
    <w:abstractNumId w:val="23"/>
  </w:num>
  <w:num w:numId="17">
    <w:abstractNumId w:val="31"/>
  </w:num>
  <w:num w:numId="18">
    <w:abstractNumId w:val="12"/>
  </w:num>
  <w:num w:numId="19">
    <w:abstractNumId w:val="8"/>
  </w:num>
  <w:num w:numId="20">
    <w:abstractNumId w:val="17"/>
  </w:num>
  <w:num w:numId="21">
    <w:abstractNumId w:val="30"/>
  </w:num>
  <w:num w:numId="22">
    <w:abstractNumId w:val="13"/>
  </w:num>
  <w:num w:numId="23">
    <w:abstractNumId w:val="36"/>
  </w:num>
  <w:num w:numId="24">
    <w:abstractNumId w:val="3"/>
  </w:num>
  <w:num w:numId="25">
    <w:abstractNumId w:val="29"/>
  </w:num>
  <w:num w:numId="26">
    <w:abstractNumId w:val="11"/>
  </w:num>
  <w:num w:numId="27">
    <w:abstractNumId w:val="35"/>
  </w:num>
  <w:num w:numId="28">
    <w:abstractNumId w:val="9"/>
  </w:num>
  <w:num w:numId="29">
    <w:abstractNumId w:val="22"/>
  </w:num>
  <w:num w:numId="30">
    <w:abstractNumId w:val="15"/>
  </w:num>
  <w:num w:numId="31">
    <w:abstractNumId w:val="34"/>
  </w:num>
  <w:num w:numId="32">
    <w:abstractNumId w:val="20"/>
  </w:num>
  <w:num w:numId="33">
    <w:abstractNumId w:val="6"/>
  </w:num>
  <w:num w:numId="34">
    <w:abstractNumId w:val="0"/>
  </w:num>
  <w:num w:numId="35">
    <w:abstractNumId w:val="33"/>
  </w:num>
  <w:num w:numId="36">
    <w:abstractNumId w:val="1"/>
  </w:num>
  <w:num w:numId="37">
    <w:abstractNumId w:val="19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02511"/>
    <w:rsid w:val="00002D15"/>
    <w:rsid w:val="0001014F"/>
    <w:rsid w:val="00010DE8"/>
    <w:rsid w:val="000123C3"/>
    <w:rsid w:val="00017448"/>
    <w:rsid w:val="0002572A"/>
    <w:rsid w:val="00030DFC"/>
    <w:rsid w:val="00040F7C"/>
    <w:rsid w:val="00041DB9"/>
    <w:rsid w:val="0004628E"/>
    <w:rsid w:val="000572F6"/>
    <w:rsid w:val="00062851"/>
    <w:rsid w:val="00065983"/>
    <w:rsid w:val="000704E4"/>
    <w:rsid w:val="0007650C"/>
    <w:rsid w:val="00077BE4"/>
    <w:rsid w:val="0008249E"/>
    <w:rsid w:val="0008591E"/>
    <w:rsid w:val="00087AD7"/>
    <w:rsid w:val="00095FF5"/>
    <w:rsid w:val="00096E2A"/>
    <w:rsid w:val="000A1944"/>
    <w:rsid w:val="000D211E"/>
    <w:rsid w:val="000D6C7D"/>
    <w:rsid w:val="000E36E5"/>
    <w:rsid w:val="000F05EF"/>
    <w:rsid w:val="000F0AF4"/>
    <w:rsid w:val="000F78DA"/>
    <w:rsid w:val="00110FB6"/>
    <w:rsid w:val="0011420A"/>
    <w:rsid w:val="00115B51"/>
    <w:rsid w:val="00120701"/>
    <w:rsid w:val="00124AC9"/>
    <w:rsid w:val="00124FDB"/>
    <w:rsid w:val="00134E49"/>
    <w:rsid w:val="00135330"/>
    <w:rsid w:val="001407E3"/>
    <w:rsid w:val="0014336D"/>
    <w:rsid w:val="0014698A"/>
    <w:rsid w:val="00151E8A"/>
    <w:rsid w:val="00155E55"/>
    <w:rsid w:val="00165712"/>
    <w:rsid w:val="0016768E"/>
    <w:rsid w:val="00180C98"/>
    <w:rsid w:val="00186000"/>
    <w:rsid w:val="001867A1"/>
    <w:rsid w:val="001A05BC"/>
    <w:rsid w:val="001A6B24"/>
    <w:rsid w:val="001C0393"/>
    <w:rsid w:val="001C0FEB"/>
    <w:rsid w:val="001E7A3E"/>
    <w:rsid w:val="001F0BDA"/>
    <w:rsid w:val="002038E8"/>
    <w:rsid w:val="00206EE1"/>
    <w:rsid w:val="002072DF"/>
    <w:rsid w:val="002107FF"/>
    <w:rsid w:val="00212D84"/>
    <w:rsid w:val="002201D8"/>
    <w:rsid w:val="00226DF4"/>
    <w:rsid w:val="002321D1"/>
    <w:rsid w:val="00250946"/>
    <w:rsid w:val="00253E42"/>
    <w:rsid w:val="002779B1"/>
    <w:rsid w:val="00286529"/>
    <w:rsid w:val="002935EC"/>
    <w:rsid w:val="002940EC"/>
    <w:rsid w:val="002A3AA7"/>
    <w:rsid w:val="002A7347"/>
    <w:rsid w:val="002B65EE"/>
    <w:rsid w:val="002B6986"/>
    <w:rsid w:val="002C7BA1"/>
    <w:rsid w:val="002D1608"/>
    <w:rsid w:val="003105D4"/>
    <w:rsid w:val="00317541"/>
    <w:rsid w:val="0032140E"/>
    <w:rsid w:val="0032686B"/>
    <w:rsid w:val="00333BCA"/>
    <w:rsid w:val="0035493F"/>
    <w:rsid w:val="00356600"/>
    <w:rsid w:val="00360890"/>
    <w:rsid w:val="00361D0C"/>
    <w:rsid w:val="00371C73"/>
    <w:rsid w:val="00381957"/>
    <w:rsid w:val="00382C61"/>
    <w:rsid w:val="0038754D"/>
    <w:rsid w:val="0039584E"/>
    <w:rsid w:val="003A380B"/>
    <w:rsid w:val="003A5030"/>
    <w:rsid w:val="003A5B9B"/>
    <w:rsid w:val="003B10D3"/>
    <w:rsid w:val="003C5A39"/>
    <w:rsid w:val="003D5352"/>
    <w:rsid w:val="003D6AA7"/>
    <w:rsid w:val="003E0EB3"/>
    <w:rsid w:val="003E715F"/>
    <w:rsid w:val="003F08A5"/>
    <w:rsid w:val="00400B4D"/>
    <w:rsid w:val="00403437"/>
    <w:rsid w:val="0040695C"/>
    <w:rsid w:val="00423004"/>
    <w:rsid w:val="004255AC"/>
    <w:rsid w:val="004277E2"/>
    <w:rsid w:val="004278E1"/>
    <w:rsid w:val="00431BA2"/>
    <w:rsid w:val="0043772C"/>
    <w:rsid w:val="0044222A"/>
    <w:rsid w:val="00450D55"/>
    <w:rsid w:val="004534CA"/>
    <w:rsid w:val="00454E0E"/>
    <w:rsid w:val="00455D33"/>
    <w:rsid w:val="00475DAD"/>
    <w:rsid w:val="0049149C"/>
    <w:rsid w:val="004955E5"/>
    <w:rsid w:val="004A1E8F"/>
    <w:rsid w:val="004A43E6"/>
    <w:rsid w:val="004A73BB"/>
    <w:rsid w:val="004B6CF3"/>
    <w:rsid w:val="004C029F"/>
    <w:rsid w:val="004C348C"/>
    <w:rsid w:val="004D24E0"/>
    <w:rsid w:val="004D255C"/>
    <w:rsid w:val="004E25F3"/>
    <w:rsid w:val="004E3A51"/>
    <w:rsid w:val="004E7E02"/>
    <w:rsid w:val="00500466"/>
    <w:rsid w:val="0050556A"/>
    <w:rsid w:val="00507B24"/>
    <w:rsid w:val="00512204"/>
    <w:rsid w:val="00516D72"/>
    <w:rsid w:val="00523B2D"/>
    <w:rsid w:val="00525090"/>
    <w:rsid w:val="00533E60"/>
    <w:rsid w:val="00542D0C"/>
    <w:rsid w:val="005541AF"/>
    <w:rsid w:val="00563075"/>
    <w:rsid w:val="00567EEA"/>
    <w:rsid w:val="00574492"/>
    <w:rsid w:val="00583E03"/>
    <w:rsid w:val="005B3C0C"/>
    <w:rsid w:val="005B3D1A"/>
    <w:rsid w:val="005B79B4"/>
    <w:rsid w:val="005C2F5D"/>
    <w:rsid w:val="005D392A"/>
    <w:rsid w:val="005D7D8E"/>
    <w:rsid w:val="005F2F32"/>
    <w:rsid w:val="005F36CB"/>
    <w:rsid w:val="005F6486"/>
    <w:rsid w:val="005F6A60"/>
    <w:rsid w:val="00600FCA"/>
    <w:rsid w:val="00606B72"/>
    <w:rsid w:val="00606B8B"/>
    <w:rsid w:val="00611DEA"/>
    <w:rsid w:val="0061209F"/>
    <w:rsid w:val="00613278"/>
    <w:rsid w:val="006150FA"/>
    <w:rsid w:val="00627755"/>
    <w:rsid w:val="00631FFE"/>
    <w:rsid w:val="00643E74"/>
    <w:rsid w:val="00646259"/>
    <w:rsid w:val="00650A3B"/>
    <w:rsid w:val="00657711"/>
    <w:rsid w:val="00666D14"/>
    <w:rsid w:val="00674C24"/>
    <w:rsid w:val="0067518F"/>
    <w:rsid w:val="00676052"/>
    <w:rsid w:val="006914A0"/>
    <w:rsid w:val="00695858"/>
    <w:rsid w:val="006969CA"/>
    <w:rsid w:val="00697F7B"/>
    <w:rsid w:val="006A0AD7"/>
    <w:rsid w:val="006A3A82"/>
    <w:rsid w:val="006A5B85"/>
    <w:rsid w:val="006B7231"/>
    <w:rsid w:val="006D4A94"/>
    <w:rsid w:val="006D5663"/>
    <w:rsid w:val="006F0258"/>
    <w:rsid w:val="006F7201"/>
    <w:rsid w:val="0070686B"/>
    <w:rsid w:val="00714301"/>
    <w:rsid w:val="00722E35"/>
    <w:rsid w:val="00726F09"/>
    <w:rsid w:val="0072711A"/>
    <w:rsid w:val="0073016C"/>
    <w:rsid w:val="00742BDB"/>
    <w:rsid w:val="00756197"/>
    <w:rsid w:val="0075684A"/>
    <w:rsid w:val="00772384"/>
    <w:rsid w:val="0077620F"/>
    <w:rsid w:val="00782812"/>
    <w:rsid w:val="007952B0"/>
    <w:rsid w:val="007C0813"/>
    <w:rsid w:val="007C43B1"/>
    <w:rsid w:val="007C5FFE"/>
    <w:rsid w:val="007C67B2"/>
    <w:rsid w:val="007D2A3D"/>
    <w:rsid w:val="007E1C2A"/>
    <w:rsid w:val="007E3BBE"/>
    <w:rsid w:val="007F12F8"/>
    <w:rsid w:val="00801E84"/>
    <w:rsid w:val="0080598B"/>
    <w:rsid w:val="0082754B"/>
    <w:rsid w:val="0083207D"/>
    <w:rsid w:val="00844CC9"/>
    <w:rsid w:val="008713E1"/>
    <w:rsid w:val="00877C02"/>
    <w:rsid w:val="0088003F"/>
    <w:rsid w:val="00884141"/>
    <w:rsid w:val="008A4FC5"/>
    <w:rsid w:val="008B0CCC"/>
    <w:rsid w:val="008B2B44"/>
    <w:rsid w:val="008B5BBC"/>
    <w:rsid w:val="008B6C47"/>
    <w:rsid w:val="008C2DA0"/>
    <w:rsid w:val="008D339E"/>
    <w:rsid w:val="008E3728"/>
    <w:rsid w:val="00906654"/>
    <w:rsid w:val="00906CF6"/>
    <w:rsid w:val="00922083"/>
    <w:rsid w:val="00930A92"/>
    <w:rsid w:val="00943B29"/>
    <w:rsid w:val="00947138"/>
    <w:rsid w:val="009473C6"/>
    <w:rsid w:val="00950013"/>
    <w:rsid w:val="00955A03"/>
    <w:rsid w:val="0098478C"/>
    <w:rsid w:val="009924D5"/>
    <w:rsid w:val="009946EF"/>
    <w:rsid w:val="00997CBE"/>
    <w:rsid w:val="009D2E8E"/>
    <w:rsid w:val="009D3AFD"/>
    <w:rsid w:val="009E0C63"/>
    <w:rsid w:val="009F2C6A"/>
    <w:rsid w:val="009F6F24"/>
    <w:rsid w:val="009F7D14"/>
    <w:rsid w:val="00A047BF"/>
    <w:rsid w:val="00A06ABC"/>
    <w:rsid w:val="00A16952"/>
    <w:rsid w:val="00A17386"/>
    <w:rsid w:val="00A3746C"/>
    <w:rsid w:val="00A42790"/>
    <w:rsid w:val="00A439C3"/>
    <w:rsid w:val="00A6075B"/>
    <w:rsid w:val="00A63D0F"/>
    <w:rsid w:val="00A65206"/>
    <w:rsid w:val="00A7021D"/>
    <w:rsid w:val="00A77924"/>
    <w:rsid w:val="00A80978"/>
    <w:rsid w:val="00A82F2C"/>
    <w:rsid w:val="00A92440"/>
    <w:rsid w:val="00A958A2"/>
    <w:rsid w:val="00AA4042"/>
    <w:rsid w:val="00AA458F"/>
    <w:rsid w:val="00AB26DC"/>
    <w:rsid w:val="00AC0239"/>
    <w:rsid w:val="00AD0E11"/>
    <w:rsid w:val="00AE1A3A"/>
    <w:rsid w:val="00AE2A09"/>
    <w:rsid w:val="00AE5853"/>
    <w:rsid w:val="00AE7FC4"/>
    <w:rsid w:val="00AF0225"/>
    <w:rsid w:val="00AF0341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4110E"/>
    <w:rsid w:val="00B454C6"/>
    <w:rsid w:val="00B50E8F"/>
    <w:rsid w:val="00B610D9"/>
    <w:rsid w:val="00B61308"/>
    <w:rsid w:val="00B64E38"/>
    <w:rsid w:val="00B653AA"/>
    <w:rsid w:val="00B961A5"/>
    <w:rsid w:val="00B96AFF"/>
    <w:rsid w:val="00BB6CCB"/>
    <w:rsid w:val="00BC230A"/>
    <w:rsid w:val="00BC3280"/>
    <w:rsid w:val="00BC5825"/>
    <w:rsid w:val="00BD5D69"/>
    <w:rsid w:val="00BE0A64"/>
    <w:rsid w:val="00BE558F"/>
    <w:rsid w:val="00BE79FE"/>
    <w:rsid w:val="00BF7169"/>
    <w:rsid w:val="00C00161"/>
    <w:rsid w:val="00C00427"/>
    <w:rsid w:val="00C00728"/>
    <w:rsid w:val="00C021ED"/>
    <w:rsid w:val="00C037CA"/>
    <w:rsid w:val="00C05D28"/>
    <w:rsid w:val="00C15F17"/>
    <w:rsid w:val="00C21273"/>
    <w:rsid w:val="00C223A2"/>
    <w:rsid w:val="00C255FB"/>
    <w:rsid w:val="00C374C9"/>
    <w:rsid w:val="00C40CA9"/>
    <w:rsid w:val="00C51A47"/>
    <w:rsid w:val="00C6149B"/>
    <w:rsid w:val="00C70211"/>
    <w:rsid w:val="00C849A3"/>
    <w:rsid w:val="00C85AEC"/>
    <w:rsid w:val="00C8659F"/>
    <w:rsid w:val="00C978CF"/>
    <w:rsid w:val="00CA289F"/>
    <w:rsid w:val="00CC2F6D"/>
    <w:rsid w:val="00CC3C62"/>
    <w:rsid w:val="00CC3CFC"/>
    <w:rsid w:val="00CD4C1E"/>
    <w:rsid w:val="00CD7438"/>
    <w:rsid w:val="00CF79FD"/>
    <w:rsid w:val="00D03786"/>
    <w:rsid w:val="00D065DB"/>
    <w:rsid w:val="00D12D77"/>
    <w:rsid w:val="00D14AF1"/>
    <w:rsid w:val="00D21F3F"/>
    <w:rsid w:val="00D27BF3"/>
    <w:rsid w:val="00D46243"/>
    <w:rsid w:val="00D55AB7"/>
    <w:rsid w:val="00D62668"/>
    <w:rsid w:val="00D67E52"/>
    <w:rsid w:val="00D731EF"/>
    <w:rsid w:val="00D81123"/>
    <w:rsid w:val="00D814AA"/>
    <w:rsid w:val="00D824B2"/>
    <w:rsid w:val="00D82A41"/>
    <w:rsid w:val="00D86ABB"/>
    <w:rsid w:val="00D97748"/>
    <w:rsid w:val="00DA495C"/>
    <w:rsid w:val="00DB2BFB"/>
    <w:rsid w:val="00DB7599"/>
    <w:rsid w:val="00DC5AAD"/>
    <w:rsid w:val="00DD2993"/>
    <w:rsid w:val="00DD59C8"/>
    <w:rsid w:val="00DE77BF"/>
    <w:rsid w:val="00DF107D"/>
    <w:rsid w:val="00E216F3"/>
    <w:rsid w:val="00E25882"/>
    <w:rsid w:val="00E25B80"/>
    <w:rsid w:val="00E275A6"/>
    <w:rsid w:val="00E315CB"/>
    <w:rsid w:val="00E342E1"/>
    <w:rsid w:val="00E35E9C"/>
    <w:rsid w:val="00E42D14"/>
    <w:rsid w:val="00E47EFF"/>
    <w:rsid w:val="00E614F2"/>
    <w:rsid w:val="00E632D1"/>
    <w:rsid w:val="00E659A0"/>
    <w:rsid w:val="00E701B1"/>
    <w:rsid w:val="00E71EB6"/>
    <w:rsid w:val="00E82318"/>
    <w:rsid w:val="00E83B01"/>
    <w:rsid w:val="00EA183E"/>
    <w:rsid w:val="00EA7462"/>
    <w:rsid w:val="00EB26FA"/>
    <w:rsid w:val="00EC0662"/>
    <w:rsid w:val="00EC23DC"/>
    <w:rsid w:val="00EC7123"/>
    <w:rsid w:val="00ED306C"/>
    <w:rsid w:val="00ED731A"/>
    <w:rsid w:val="00EE38AD"/>
    <w:rsid w:val="00EF7A0E"/>
    <w:rsid w:val="00F00938"/>
    <w:rsid w:val="00F0134B"/>
    <w:rsid w:val="00F068C5"/>
    <w:rsid w:val="00F34E7D"/>
    <w:rsid w:val="00F4048C"/>
    <w:rsid w:val="00F51127"/>
    <w:rsid w:val="00F6311C"/>
    <w:rsid w:val="00F702D9"/>
    <w:rsid w:val="00F72924"/>
    <w:rsid w:val="00F85F97"/>
    <w:rsid w:val="00F964F8"/>
    <w:rsid w:val="00FA1119"/>
    <w:rsid w:val="00FA2907"/>
    <w:rsid w:val="00FB0B54"/>
    <w:rsid w:val="00FB39EF"/>
    <w:rsid w:val="00FB5C3A"/>
    <w:rsid w:val="00FC027D"/>
    <w:rsid w:val="00FC165B"/>
    <w:rsid w:val="00FD382A"/>
    <w:rsid w:val="00FD4D95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0F291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9">
    <w:name w:val="header"/>
    <w:basedOn w:val="a"/>
    <w:link w:val="aa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5E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5EF"/>
    <w:rPr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40695C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695C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211pt">
    <w:name w:val="Основной текст (2) + 11 pt"/>
    <w:basedOn w:val="20"/>
    <w:rsid w:val="00CC3C6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  <w:style w:type="table" w:styleId="ad">
    <w:name w:val="Table Grid"/>
    <w:basedOn w:val="a1"/>
    <w:uiPriority w:val="99"/>
    <w:locked/>
    <w:rsid w:val="00395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лок"/>
    <w:basedOn w:val="a"/>
    <w:link w:val="af"/>
    <w:qFormat/>
    <w:rsid w:val="001A6B24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">
    <w:name w:val="Блок Знак"/>
    <w:basedOn w:val="a0"/>
    <w:link w:val="ae"/>
    <w:rsid w:val="001A6B24"/>
    <w:rPr>
      <w:rFonts w:ascii="Arial" w:eastAsia="Times New Roman" w:hAnsi="Arial" w:cs="Arial"/>
      <w:b/>
      <w:sz w:val="72"/>
      <w:szCs w:val="72"/>
    </w:rPr>
  </w:style>
  <w:style w:type="table" w:customStyle="1" w:styleId="1">
    <w:name w:val="Сетка таблицы1"/>
    <w:basedOn w:val="a1"/>
    <w:next w:val="ad"/>
    <w:uiPriority w:val="59"/>
    <w:rsid w:val="009F7D14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372A2-6F11-4A92-A16C-1AECE33C9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8</Pages>
  <Words>2516</Words>
  <Characters>18976</Characters>
  <Application>Microsoft Office Word</Application>
  <DocSecurity>0</DocSecurity>
  <Lines>158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Скоморохова Юлия Сергеевна</cp:lastModifiedBy>
  <cp:revision>87</cp:revision>
  <cp:lastPrinted>2021-02-10T08:56:00Z</cp:lastPrinted>
  <dcterms:created xsi:type="dcterms:W3CDTF">2020-11-11T13:42:00Z</dcterms:created>
  <dcterms:modified xsi:type="dcterms:W3CDTF">2021-09-22T08:47:00Z</dcterms:modified>
</cp:coreProperties>
</file>